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C9DBDB" w14:textId="60E54058" w:rsidR="002E3908" w:rsidRPr="002E3908" w:rsidRDefault="002E3908" w:rsidP="002E3908">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r w:rsidRPr="002E3908">
        <w:rPr>
          <w:rFonts w:ascii="Lato" w:eastAsia="Times New Roman" w:hAnsi="Lato" w:cs="Times New Roman"/>
          <w:color w:val="CC3300"/>
          <w:kern w:val="36"/>
          <w:sz w:val="36"/>
          <w:szCs w:val="36"/>
          <w:lang w:eastAsia="fr-BE"/>
          <w14:ligatures w14:val="none"/>
        </w:rPr>
        <w:t>Nickel</w:t>
      </w:r>
      <w:r>
        <w:rPr>
          <w:rFonts w:ascii="Lato" w:eastAsia="Times New Roman" w:hAnsi="Lato" w:cs="Times New Roman"/>
          <w:color w:val="CC3300"/>
          <w:kern w:val="36"/>
          <w:sz w:val="36"/>
          <w:szCs w:val="36"/>
          <w:lang w:eastAsia="fr-BE"/>
          <w14:ligatures w14:val="none"/>
        </w:rPr>
        <w:t>,</w:t>
      </w:r>
      <w:r w:rsidRPr="002E3908">
        <w:rPr>
          <w:rFonts w:ascii="Lato" w:eastAsia="Times New Roman" w:hAnsi="Lato" w:cs="Times New Roman"/>
          <w:color w:val="CC3300"/>
          <w:kern w:val="36"/>
          <w:sz w:val="36"/>
          <w:szCs w:val="36"/>
          <w:lang w:eastAsia="fr-BE"/>
          <w14:ligatures w14:val="none"/>
        </w:rPr>
        <w:t xml:space="preserve"> les projets de plateformes d’échanges contrariés</w:t>
      </w:r>
    </w:p>
    <w:p w14:paraId="5A6C97BF" w14:textId="77777777" w:rsidR="002E3908" w:rsidRDefault="002E3908" w:rsidP="002E3908">
      <w:pPr>
        <w:shd w:val="clear" w:color="auto" w:fill="FFFFFF"/>
        <w:spacing w:before="75" w:after="75" w:line="240" w:lineRule="auto"/>
        <w:jc w:val="both"/>
        <w:rPr>
          <w:rFonts w:ascii="Lato" w:eastAsia="Times New Roman" w:hAnsi="Lato" w:cs="Times New Roman"/>
          <w:color w:val="3E001F"/>
          <w:kern w:val="0"/>
          <w:sz w:val="30"/>
          <w:szCs w:val="30"/>
          <w:lang w:eastAsia="fr-BE"/>
          <w14:ligatures w14:val="none"/>
        </w:rPr>
      </w:pPr>
    </w:p>
    <w:p w14:paraId="4D12EE0E" w14:textId="2D636D80" w:rsidR="002E3908" w:rsidRPr="002E3908" w:rsidRDefault="002E3908" w:rsidP="002E3908">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2E3908">
        <w:rPr>
          <w:rFonts w:ascii="Lato" w:eastAsia="Times New Roman" w:hAnsi="Lato" w:cs="Times New Roman"/>
          <w:b/>
          <w:bCs/>
          <w:color w:val="000000"/>
          <w:kern w:val="0"/>
          <w:sz w:val="23"/>
          <w:szCs w:val="23"/>
          <w:lang w:eastAsia="fr-BE"/>
          <w14:ligatures w14:val="none"/>
        </w:rPr>
        <w:t>Les deux projets de plateformes d’échanges dédiées au nickel de Global Commodities Holdings Limited (GCHL) et Abaxx Technologies ont été mis à mal par le désengagement de BHP, après les fermetures de capacités opérées en Australie.</w:t>
      </w:r>
    </w:p>
    <w:p w14:paraId="6A437E81" w14:textId="77777777" w:rsidR="002E3908" w:rsidRPr="002E3908" w:rsidRDefault="002E3908" w:rsidP="002E3908">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2E3908">
        <w:rPr>
          <w:rFonts w:ascii="Lato" w:eastAsia="Times New Roman" w:hAnsi="Lato" w:cs="Times New Roman"/>
          <w:color w:val="000000"/>
          <w:kern w:val="0"/>
          <w:sz w:val="23"/>
          <w:szCs w:val="23"/>
          <w:lang w:eastAsia="fr-BE"/>
          <w14:ligatures w14:val="none"/>
        </w:rPr>
        <w:t> </w:t>
      </w:r>
    </w:p>
    <w:p w14:paraId="3A58F886" w14:textId="77777777" w:rsidR="002E3908" w:rsidRPr="002E3908" w:rsidRDefault="002E3908" w:rsidP="002E3908">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2E3908">
        <w:rPr>
          <w:rFonts w:ascii="Lato" w:eastAsia="Times New Roman" w:hAnsi="Lato" w:cs="Times New Roman"/>
          <w:color w:val="000000"/>
          <w:kern w:val="0"/>
          <w:sz w:val="23"/>
          <w:szCs w:val="23"/>
          <w:lang w:eastAsia="fr-BE"/>
          <w14:ligatures w14:val="none"/>
        </w:rPr>
        <w:t>Les deux sociétés voulaient profiter du terrain laissé vacant par le LME, suite à la mauvaise gestion de la crise du nickel, en mars 2022, qui a vu les cours s’envoler à plus de 100.000 $/t en quelques heures.</w:t>
      </w:r>
    </w:p>
    <w:p w14:paraId="02430879" w14:textId="77777777" w:rsidR="002E3908" w:rsidRPr="002E3908" w:rsidRDefault="002E3908" w:rsidP="002E3908">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2E3908">
        <w:rPr>
          <w:rFonts w:ascii="Lato" w:eastAsia="Times New Roman" w:hAnsi="Lato" w:cs="Times New Roman"/>
          <w:b/>
          <w:bCs/>
          <w:color w:val="000000"/>
          <w:kern w:val="0"/>
          <w:sz w:val="23"/>
          <w:szCs w:val="23"/>
          <w:lang w:eastAsia="fr-BE"/>
          <w14:ligatures w14:val="none"/>
        </w:rPr>
        <w:t>BHP </w:t>
      </w:r>
      <w:r w:rsidRPr="002E3908">
        <w:rPr>
          <w:rFonts w:ascii="Lato" w:eastAsia="Times New Roman" w:hAnsi="Lato" w:cs="Times New Roman"/>
          <w:color w:val="000000"/>
          <w:kern w:val="0"/>
          <w:sz w:val="23"/>
          <w:szCs w:val="23"/>
          <w:lang w:eastAsia="fr-BE"/>
          <w14:ligatures w14:val="none"/>
        </w:rPr>
        <w:t>devait fournir des volumes de nickel aux deux plateformes, ce qu’il n’est plus en mesure de faire après la suspension de la raffinerie de sulfate de nickel de Kwinana, ainsi que d’autres sites de production, dans l’ouest de l’Australie.</w:t>
      </w:r>
    </w:p>
    <w:p w14:paraId="60A8AAA0" w14:textId="77777777" w:rsidR="002E3908" w:rsidRPr="002E3908" w:rsidRDefault="002E3908" w:rsidP="002E3908">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2E3908">
        <w:rPr>
          <w:rFonts w:ascii="Lato" w:eastAsia="Times New Roman" w:hAnsi="Lato" w:cs="Times New Roman"/>
          <w:color w:val="000000"/>
          <w:kern w:val="0"/>
          <w:sz w:val="23"/>
          <w:szCs w:val="23"/>
          <w:lang w:eastAsia="fr-BE"/>
          <w14:ligatures w14:val="none"/>
        </w:rPr>
        <w:t>GCHL a pour projet de créer un contrat sur le nickel physique. </w:t>
      </w:r>
      <w:r w:rsidRPr="002E3908">
        <w:rPr>
          <w:rFonts w:ascii="Lato" w:eastAsia="Times New Roman" w:hAnsi="Lato" w:cs="Times New Roman"/>
          <w:b/>
          <w:bCs/>
          <w:color w:val="000000"/>
          <w:kern w:val="0"/>
          <w:sz w:val="23"/>
          <w:szCs w:val="23"/>
          <w:lang w:eastAsia="fr-BE"/>
          <w14:ligatures w14:val="none"/>
        </w:rPr>
        <w:t>BHP </w:t>
      </w:r>
      <w:r w:rsidRPr="002E3908">
        <w:rPr>
          <w:rFonts w:ascii="Lato" w:eastAsia="Times New Roman" w:hAnsi="Lato" w:cs="Times New Roman"/>
          <w:color w:val="000000"/>
          <w:kern w:val="0"/>
          <w:sz w:val="23"/>
          <w:szCs w:val="23"/>
          <w:lang w:eastAsia="fr-BE"/>
          <w14:ligatures w14:val="none"/>
        </w:rPr>
        <w:t>est actionnaire de GCHL, dirigé par Martin Abbott, ancien pdg du LME. GCHL devait lancer sa plateforme en avril dernier. « </w:t>
      </w:r>
      <w:r w:rsidRPr="002E3908">
        <w:rPr>
          <w:rFonts w:ascii="Lato" w:eastAsia="Times New Roman" w:hAnsi="Lato" w:cs="Times New Roman"/>
          <w:i/>
          <w:iCs/>
          <w:color w:val="000000"/>
          <w:kern w:val="0"/>
          <w:sz w:val="23"/>
          <w:szCs w:val="23"/>
          <w:lang w:eastAsia="fr-BE"/>
          <w14:ligatures w14:val="none"/>
        </w:rPr>
        <w:t>Il est juste de dire que le projet de nickel de GCHL a été perturbé par la décision de BHP d'arrêter sa production de nickel en Australie </w:t>
      </w:r>
      <w:r w:rsidRPr="002E3908">
        <w:rPr>
          <w:rFonts w:ascii="Lato" w:eastAsia="Times New Roman" w:hAnsi="Lato" w:cs="Times New Roman"/>
          <w:color w:val="000000"/>
          <w:kern w:val="0"/>
          <w:sz w:val="23"/>
          <w:szCs w:val="23"/>
          <w:lang w:eastAsia="fr-BE"/>
          <w14:ligatures w14:val="none"/>
        </w:rPr>
        <w:t>», a déclaré Martin Abbott. « </w:t>
      </w:r>
      <w:r w:rsidRPr="002E3908">
        <w:rPr>
          <w:rFonts w:ascii="Lato" w:eastAsia="Times New Roman" w:hAnsi="Lato" w:cs="Times New Roman"/>
          <w:i/>
          <w:iCs/>
          <w:color w:val="000000"/>
          <w:kern w:val="0"/>
          <w:sz w:val="23"/>
          <w:szCs w:val="23"/>
          <w:lang w:eastAsia="fr-BE"/>
          <w14:ligatures w14:val="none"/>
        </w:rPr>
        <w:t>BHP a joué un rôle important dans la conception du produit et, heureusement, le contrat standard sous-jacent est finalisé et entièrement utilisable »</w:t>
      </w:r>
      <w:r w:rsidRPr="002E3908">
        <w:rPr>
          <w:rFonts w:ascii="Lato" w:eastAsia="Times New Roman" w:hAnsi="Lato" w:cs="Times New Roman"/>
          <w:color w:val="000000"/>
          <w:kern w:val="0"/>
          <w:sz w:val="23"/>
          <w:szCs w:val="23"/>
          <w:lang w:eastAsia="fr-BE"/>
          <w14:ligatures w14:val="none"/>
        </w:rPr>
        <w:t>, a-t-il ajouté.</w:t>
      </w:r>
    </w:p>
    <w:p w14:paraId="41A69D76" w14:textId="77777777" w:rsidR="002E3908" w:rsidRPr="002E3908" w:rsidRDefault="002E3908" w:rsidP="002E3908">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2E3908">
        <w:rPr>
          <w:rFonts w:ascii="Lato" w:eastAsia="Times New Roman" w:hAnsi="Lato" w:cs="Times New Roman"/>
          <w:color w:val="000000"/>
          <w:kern w:val="0"/>
          <w:sz w:val="23"/>
          <w:szCs w:val="23"/>
          <w:lang w:eastAsia="fr-BE"/>
          <w14:ligatures w14:val="none"/>
        </w:rPr>
        <w:t>Abaxx devait, lui, lancer le premier contrat sur le sulfate de nickel. Il a démarré les échanges sur le gaz naturel liquéfié et un contrat à terme sur le carbone en juin. « </w:t>
      </w:r>
      <w:r w:rsidRPr="002E3908">
        <w:rPr>
          <w:rFonts w:ascii="Lato" w:eastAsia="Times New Roman" w:hAnsi="Lato" w:cs="Times New Roman"/>
          <w:i/>
          <w:iCs/>
          <w:color w:val="000000"/>
          <w:kern w:val="0"/>
          <w:sz w:val="23"/>
          <w:szCs w:val="23"/>
          <w:lang w:eastAsia="fr-BE"/>
          <w14:ligatures w14:val="none"/>
        </w:rPr>
        <w:t>L'industrie du nickel a récemment subi des changements significatifs, qui ont eu un impact notable sur le marché et sur l’élaboration de nos contrats </w:t>
      </w:r>
      <w:r w:rsidRPr="002E3908">
        <w:rPr>
          <w:rFonts w:ascii="Lato" w:eastAsia="Times New Roman" w:hAnsi="Lato" w:cs="Times New Roman"/>
          <w:color w:val="000000"/>
          <w:kern w:val="0"/>
          <w:sz w:val="23"/>
          <w:szCs w:val="23"/>
          <w:lang w:eastAsia="fr-BE"/>
          <w14:ligatures w14:val="none"/>
        </w:rPr>
        <w:t>», a déclaré Abaxx. </w:t>
      </w:r>
    </w:p>
    <w:p w14:paraId="2FF38079" w14:textId="77777777" w:rsidR="002E3908" w:rsidRPr="002E3908" w:rsidRDefault="002E3908" w:rsidP="002E3908">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2E3908">
        <w:rPr>
          <w:rFonts w:ascii="Lato" w:eastAsia="Times New Roman" w:hAnsi="Lato" w:cs="Times New Roman"/>
          <w:color w:val="000000"/>
          <w:kern w:val="0"/>
          <w:sz w:val="23"/>
          <w:szCs w:val="23"/>
          <w:lang w:eastAsia="fr-BE"/>
          <w14:ligatures w14:val="none"/>
        </w:rPr>
        <w:t>Plus de la moitié de l'offre mondiale en nickel, anticipée à près de 3,5 millions de tonnes cette année, proviendra d'Indonésie. Le nickel, principalement produit par des entreprises chinoises, émet une quantité importante de carbone. « </w:t>
      </w:r>
      <w:r w:rsidRPr="002E3908">
        <w:rPr>
          <w:rFonts w:ascii="Lato" w:eastAsia="Times New Roman" w:hAnsi="Lato" w:cs="Times New Roman"/>
          <w:i/>
          <w:iCs/>
          <w:color w:val="000000"/>
          <w:kern w:val="0"/>
          <w:sz w:val="23"/>
          <w:szCs w:val="23"/>
          <w:lang w:eastAsia="fr-BE"/>
          <w14:ligatures w14:val="none"/>
        </w:rPr>
        <w:t>La prédominance des matières premières d'origine indonésienne et chinoise implique que nous devons donner une nouvelle orientation à la plateforme pour inclure du nickel en provenance d’autres pays et qui n’est pas sanctionné »</w:t>
      </w:r>
      <w:r w:rsidRPr="002E3908">
        <w:rPr>
          <w:rFonts w:ascii="Lato" w:eastAsia="Times New Roman" w:hAnsi="Lato" w:cs="Times New Roman"/>
          <w:color w:val="000000"/>
          <w:kern w:val="0"/>
          <w:sz w:val="23"/>
          <w:szCs w:val="23"/>
          <w:lang w:eastAsia="fr-BE"/>
          <w14:ligatures w14:val="none"/>
        </w:rPr>
        <w:t>, a déclaré Martin Abbott.</w:t>
      </w:r>
    </w:p>
    <w:p w14:paraId="04DAE302" w14:textId="77777777" w:rsidR="00287462" w:rsidRDefault="00287462"/>
    <w:sectPr w:rsidR="00287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908"/>
    <w:rsid w:val="00287462"/>
    <w:rsid w:val="002E3908"/>
    <w:rsid w:val="00500EC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D4FE5"/>
  <w15:chartTrackingRefBased/>
  <w15:docId w15:val="{23967870-CBD7-4C8C-B7BF-CEE70E0DE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E39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E39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E390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E390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E390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E390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E390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E390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E390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E390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E390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E390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E390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E390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E390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E390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E390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E3908"/>
    <w:rPr>
      <w:rFonts w:eastAsiaTheme="majorEastAsia" w:cstheme="majorBidi"/>
      <w:color w:val="272727" w:themeColor="text1" w:themeTint="D8"/>
    </w:rPr>
  </w:style>
  <w:style w:type="paragraph" w:styleId="Titre">
    <w:name w:val="Title"/>
    <w:basedOn w:val="Normal"/>
    <w:next w:val="Normal"/>
    <w:link w:val="TitreCar"/>
    <w:uiPriority w:val="10"/>
    <w:qFormat/>
    <w:rsid w:val="002E39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E390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E390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E390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E3908"/>
    <w:pPr>
      <w:spacing w:before="160"/>
      <w:jc w:val="center"/>
    </w:pPr>
    <w:rPr>
      <w:i/>
      <w:iCs/>
      <w:color w:val="404040" w:themeColor="text1" w:themeTint="BF"/>
    </w:rPr>
  </w:style>
  <w:style w:type="character" w:customStyle="1" w:styleId="CitationCar">
    <w:name w:val="Citation Car"/>
    <w:basedOn w:val="Policepardfaut"/>
    <w:link w:val="Citation"/>
    <w:uiPriority w:val="29"/>
    <w:rsid w:val="002E3908"/>
    <w:rPr>
      <w:i/>
      <w:iCs/>
      <w:color w:val="404040" w:themeColor="text1" w:themeTint="BF"/>
    </w:rPr>
  </w:style>
  <w:style w:type="paragraph" w:styleId="Paragraphedeliste">
    <w:name w:val="List Paragraph"/>
    <w:basedOn w:val="Normal"/>
    <w:uiPriority w:val="34"/>
    <w:qFormat/>
    <w:rsid w:val="002E3908"/>
    <w:pPr>
      <w:ind w:left="720"/>
      <w:contextualSpacing/>
    </w:pPr>
  </w:style>
  <w:style w:type="character" w:styleId="Accentuationintense">
    <w:name w:val="Intense Emphasis"/>
    <w:basedOn w:val="Policepardfaut"/>
    <w:uiPriority w:val="21"/>
    <w:qFormat/>
    <w:rsid w:val="002E3908"/>
    <w:rPr>
      <w:i/>
      <w:iCs/>
      <w:color w:val="0F4761" w:themeColor="accent1" w:themeShade="BF"/>
    </w:rPr>
  </w:style>
  <w:style w:type="paragraph" w:styleId="Citationintense">
    <w:name w:val="Intense Quote"/>
    <w:basedOn w:val="Normal"/>
    <w:next w:val="Normal"/>
    <w:link w:val="CitationintenseCar"/>
    <w:uiPriority w:val="30"/>
    <w:qFormat/>
    <w:rsid w:val="002E39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E3908"/>
    <w:rPr>
      <w:i/>
      <w:iCs/>
      <w:color w:val="0F4761" w:themeColor="accent1" w:themeShade="BF"/>
    </w:rPr>
  </w:style>
  <w:style w:type="character" w:styleId="Rfrenceintense">
    <w:name w:val="Intense Reference"/>
    <w:basedOn w:val="Policepardfaut"/>
    <w:uiPriority w:val="32"/>
    <w:qFormat/>
    <w:rsid w:val="002E39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300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323</Words>
  <Characters>1780</Characters>
  <Application>Microsoft Office Word</Application>
  <DocSecurity>0</DocSecurity>
  <Lines>14</Lines>
  <Paragraphs>4</Paragraphs>
  <ScaleCrop>false</ScaleCrop>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2024-09-30T06:04:00Z</dcterms:created>
  <dcterms:modified xsi:type="dcterms:W3CDTF">2024-09-30T06:05:00Z</dcterms:modified>
</cp:coreProperties>
</file>